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08E" w:rsidRDefault="009E408E" w:rsidP="009E408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99FF"/>
        <w:jc w:val="center"/>
        <w:rPr>
          <w:sz w:val="24"/>
          <w:szCs w:val="24"/>
        </w:rPr>
      </w:pPr>
      <w:r>
        <w:rPr>
          <w:color w:val="002060"/>
          <w:sz w:val="36"/>
          <w:szCs w:val="36"/>
        </w:rPr>
        <w:t>Sur les pas d’Emile Zola : du carnet d’enquête à l’écriture : des élèves de seconde au puits Couriot et aux archives municipales de Saint-Etienne</w:t>
      </w:r>
    </w:p>
    <w:p w:rsidR="009E408E" w:rsidRPr="00091141" w:rsidRDefault="009E408E" w:rsidP="009E408E">
      <w:pPr>
        <w:jc w:val="both"/>
        <w:rPr>
          <w:rFonts w:ascii="Century Gothic" w:hAnsi="Century Gothic"/>
          <w:sz w:val="24"/>
          <w:szCs w:val="24"/>
        </w:rPr>
        <w:sectPr w:rsidR="009E408E" w:rsidRPr="00091141" w:rsidSect="001F2017">
          <w:pgSz w:w="11906" w:h="16838"/>
          <w:pgMar w:top="720" w:right="720" w:bottom="720" w:left="720" w:header="708" w:footer="708" w:gutter="0"/>
          <w:cols w:space="708"/>
          <w:docGrid w:linePitch="360"/>
        </w:sectPr>
      </w:pPr>
    </w:p>
    <w:p w:rsidR="00B26116" w:rsidRDefault="00EA0D0C" w:rsidP="009E408E">
      <w:pPr>
        <w:jc w:val="both"/>
        <w:rPr>
          <w:rFonts w:ascii="Century Gothic" w:hAnsi="Century Gothic"/>
        </w:rPr>
      </w:pPr>
      <w:bookmarkStart w:id="0" w:name="_GoBack"/>
      <w:r>
        <w:rPr>
          <w:noProof/>
          <w:lang w:eastAsia="fr-FR"/>
        </w:rPr>
        <w:drawing>
          <wp:anchor distT="0" distB="0" distL="114300" distR="114300" simplePos="0" relativeHeight="251665408" behindDoc="0" locked="0" layoutInCell="1" allowOverlap="1">
            <wp:simplePos x="0" y="0"/>
            <wp:positionH relativeFrom="column">
              <wp:posOffset>4486275</wp:posOffset>
            </wp:positionH>
            <wp:positionV relativeFrom="paragraph">
              <wp:posOffset>1557020</wp:posOffset>
            </wp:positionV>
            <wp:extent cx="2295525" cy="1721485"/>
            <wp:effectExtent l="0" t="0" r="9525" b="0"/>
            <wp:wrapThrough wrapText="bothSides">
              <wp:wrapPolygon edited="0">
                <wp:start x="8604" y="0"/>
                <wp:lineTo x="6812" y="239"/>
                <wp:lineTo x="1972" y="2868"/>
                <wp:lineTo x="1972" y="3824"/>
                <wp:lineTo x="1076" y="5498"/>
                <wp:lineTo x="0" y="7649"/>
                <wp:lineTo x="0" y="12907"/>
                <wp:lineTo x="538" y="15298"/>
                <wp:lineTo x="3406" y="19122"/>
                <wp:lineTo x="3585" y="19600"/>
                <wp:lineTo x="7349" y="21273"/>
                <wp:lineTo x="8246" y="21273"/>
                <wp:lineTo x="13444" y="21273"/>
                <wp:lineTo x="14161" y="21273"/>
                <wp:lineTo x="17925" y="19361"/>
                <wp:lineTo x="20973" y="15298"/>
                <wp:lineTo x="21510" y="13146"/>
                <wp:lineTo x="21510" y="7410"/>
                <wp:lineTo x="20614" y="5737"/>
                <wp:lineTo x="19718" y="3107"/>
                <wp:lineTo x="14878" y="239"/>
                <wp:lineTo x="13085" y="0"/>
                <wp:lineTo x="8604"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721485"/>
                    </a:xfrm>
                    <a:prstGeom prst="ellipse">
                      <a:avLst/>
                    </a:prstGeom>
                    <a:noFill/>
                    <a:ln>
                      <a:noFill/>
                    </a:ln>
                  </pic:spPr>
                </pic:pic>
              </a:graphicData>
            </a:graphic>
          </wp:anchor>
        </w:drawing>
      </w:r>
      <w:bookmarkEnd w:id="0"/>
      <w:r w:rsidR="00FF3CE6" w:rsidRPr="00B26116">
        <w:rPr>
          <w:noProof/>
          <w:lang w:eastAsia="fr-FR"/>
        </w:rPr>
        <w:drawing>
          <wp:anchor distT="0" distB="0" distL="114300" distR="114300" simplePos="0" relativeHeight="251663360" behindDoc="0" locked="0" layoutInCell="1" allowOverlap="1">
            <wp:simplePos x="0" y="0"/>
            <wp:positionH relativeFrom="margin">
              <wp:posOffset>0</wp:posOffset>
            </wp:positionH>
            <wp:positionV relativeFrom="margin">
              <wp:posOffset>2552700</wp:posOffset>
            </wp:positionV>
            <wp:extent cx="3142615" cy="2357120"/>
            <wp:effectExtent l="0" t="0" r="635" b="508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2615" cy="2357120"/>
                    </a:xfrm>
                    <a:prstGeom prst="rect">
                      <a:avLst/>
                    </a:prstGeom>
                    <a:noFill/>
                    <a:ln>
                      <a:noFill/>
                    </a:ln>
                  </pic:spPr>
                </pic:pic>
              </a:graphicData>
            </a:graphic>
          </wp:anchor>
        </w:drawing>
      </w:r>
      <w:r w:rsidR="009E408E" w:rsidRPr="00B26116">
        <w:rPr>
          <w:rFonts w:ascii="Century Gothic" w:hAnsi="Century Gothic"/>
        </w:rPr>
        <w:t xml:space="preserve">Les élèves de 201 et 207 se sont déplacés à Saint-Etienne le 22 janvier dans le cadre d’un projet pédagogique lié au cours de français. Celui-ci a pu être réalisé </w:t>
      </w:r>
      <w:r w:rsidR="009E408E" w:rsidRPr="00B26116">
        <w:rPr>
          <w:rFonts w:ascii="Century Gothic" w:hAnsi="Century Gothic"/>
          <w:b/>
          <w:bCs/>
        </w:rPr>
        <w:t>grâce au soutien financier de la région Auvergne-Rhône-Alpes dans le cadre d’un appel à projets intitulé « Passeurs de culture ».</w:t>
      </w:r>
      <w:r w:rsidR="009E408E" w:rsidRPr="00B26116">
        <w:rPr>
          <w:rFonts w:ascii="Century Gothic" w:hAnsi="Century Gothic"/>
        </w:rPr>
        <w:t xml:space="preserve"> L’enjeu est de créer un</w:t>
      </w:r>
    </w:p>
    <w:p w:rsidR="00B26116" w:rsidRDefault="00B26116" w:rsidP="009E408E">
      <w:pPr>
        <w:jc w:val="both"/>
        <w:rPr>
          <w:rFonts w:ascii="Century Gothic" w:hAnsi="Century Gothic"/>
        </w:rPr>
      </w:pPr>
    </w:p>
    <w:p w:rsidR="009E408E" w:rsidRPr="00B26116" w:rsidRDefault="00EA0D0C" w:rsidP="009E408E">
      <w:pPr>
        <w:jc w:val="both"/>
      </w:pPr>
      <w:r w:rsidRPr="00B26116">
        <w:rPr>
          <w:rFonts w:ascii="Arial" w:hAnsi="Arial" w:cs="Arial"/>
          <w:noProof/>
          <w:color w:val="2962FF"/>
          <w:lang w:eastAsia="fr-FR"/>
        </w:rPr>
        <w:drawing>
          <wp:anchor distT="0" distB="0" distL="114300" distR="114300" simplePos="0" relativeHeight="251667456" behindDoc="0" locked="0" layoutInCell="1" allowOverlap="1">
            <wp:simplePos x="0" y="0"/>
            <wp:positionH relativeFrom="margin">
              <wp:posOffset>5800725</wp:posOffset>
            </wp:positionH>
            <wp:positionV relativeFrom="margin">
              <wp:posOffset>9543415</wp:posOffset>
            </wp:positionV>
            <wp:extent cx="739775" cy="413385"/>
            <wp:effectExtent l="0" t="0" r="3175" b="5715"/>
            <wp:wrapSquare wrapText="bothSides"/>
            <wp:docPr id="7" name="Image 7" descr="Le nouveau logo de la Région Auvergne-Rhône-Alpes | Axelera">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nouveau logo de la Région Auvergne-Rhône-Alpes | Axelera">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9775" cy="413385"/>
                    </a:xfrm>
                    <a:prstGeom prst="rect">
                      <a:avLst/>
                    </a:prstGeom>
                    <a:noFill/>
                    <a:ln>
                      <a:noFill/>
                    </a:ln>
                  </pic:spPr>
                </pic:pic>
              </a:graphicData>
            </a:graphic>
          </wp:anchor>
        </w:drawing>
      </w:r>
      <w:r w:rsidRPr="00B26116">
        <w:rPr>
          <w:noProof/>
          <w:lang w:eastAsia="fr-FR"/>
        </w:rPr>
        <w:drawing>
          <wp:anchor distT="0" distB="0" distL="114300" distR="114300" simplePos="0" relativeHeight="251661312" behindDoc="0" locked="0" layoutInCell="1" allowOverlap="1">
            <wp:simplePos x="0" y="0"/>
            <wp:positionH relativeFrom="margin">
              <wp:posOffset>3531235</wp:posOffset>
            </wp:positionH>
            <wp:positionV relativeFrom="margin">
              <wp:posOffset>5508625</wp:posOffset>
            </wp:positionV>
            <wp:extent cx="1918970" cy="1993265"/>
            <wp:effectExtent l="952" t="0" r="6033" b="6032"/>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 r="27745"/>
                    <a:stretch/>
                  </pic:blipFill>
                  <pic:spPr bwMode="auto">
                    <a:xfrm rot="5400000">
                      <a:off x="0" y="0"/>
                      <a:ext cx="1918970" cy="1993265"/>
                    </a:xfrm>
                    <a:prstGeom prst="heptagon">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B26116">
        <w:rPr>
          <w:noProof/>
          <w:lang w:eastAsia="fr-FR"/>
        </w:rPr>
        <w:drawing>
          <wp:anchor distT="0" distB="0" distL="114300" distR="114300" simplePos="0" relativeHeight="251662336" behindDoc="0" locked="0" layoutInCell="1" allowOverlap="1">
            <wp:simplePos x="0" y="0"/>
            <wp:positionH relativeFrom="margin">
              <wp:posOffset>-48895</wp:posOffset>
            </wp:positionH>
            <wp:positionV relativeFrom="margin">
              <wp:posOffset>7548880</wp:posOffset>
            </wp:positionV>
            <wp:extent cx="2155190" cy="2286000"/>
            <wp:effectExtent l="0" t="8255" r="8255"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608" r="30415"/>
                    <a:stretch/>
                  </pic:blipFill>
                  <pic:spPr bwMode="auto">
                    <a:xfrm rot="5400000">
                      <a:off x="0" y="0"/>
                      <a:ext cx="2155190" cy="2286000"/>
                    </a:xfrm>
                    <a:prstGeom prst="ellipse">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E408E" w:rsidRPr="00B26116">
        <w:rPr>
          <w:rFonts w:ascii="Century Gothic" w:hAnsi="Century Gothic"/>
        </w:rPr>
        <w:t xml:space="preserve">lien entre les apprentissages scolaires et la découverte du patrimoine régional. Les élèves de seconde ont abordé le naturalisme et l’œuvre de Zola dans le cadre du programme. </w:t>
      </w:r>
      <w:r w:rsidR="009E408E" w:rsidRPr="006F09EB">
        <w:rPr>
          <w:rFonts w:ascii="Century Gothic" w:hAnsi="Century Gothic"/>
          <w:b/>
          <w:bCs/>
        </w:rPr>
        <w:t xml:space="preserve">Or si tout le monde sait que </w:t>
      </w:r>
      <w:r w:rsidR="009E408E" w:rsidRPr="006F09EB">
        <w:rPr>
          <w:rFonts w:ascii="Century Gothic" w:hAnsi="Century Gothic"/>
          <w:b/>
          <w:bCs/>
          <w:i/>
          <w:iCs/>
        </w:rPr>
        <w:t xml:space="preserve">Germinal </w:t>
      </w:r>
      <w:r w:rsidR="009E408E" w:rsidRPr="006F09EB">
        <w:rPr>
          <w:rFonts w:ascii="Century Gothic" w:hAnsi="Century Gothic"/>
          <w:b/>
          <w:bCs/>
        </w:rPr>
        <w:t>illustre les conditions de vie dans les corons du Nord de la France au 19</w:t>
      </w:r>
      <w:r w:rsidR="009E408E" w:rsidRPr="006F09EB">
        <w:rPr>
          <w:rFonts w:ascii="Century Gothic" w:hAnsi="Century Gothic"/>
          <w:b/>
          <w:bCs/>
          <w:vertAlign w:val="superscript"/>
        </w:rPr>
        <w:t>ème</w:t>
      </w:r>
      <w:r w:rsidR="009E408E" w:rsidRPr="006F09EB">
        <w:rPr>
          <w:rFonts w:ascii="Century Gothic" w:hAnsi="Century Gothic"/>
          <w:b/>
          <w:bCs/>
        </w:rPr>
        <w:t xml:space="preserve"> siècle on sait moins que le défenseur de Dreyfus s’est aussi inspiré d’une autre réalité</w:t>
      </w:r>
      <w:r w:rsidR="009E408E" w:rsidRPr="00B26116">
        <w:rPr>
          <w:rFonts w:ascii="Century Gothic" w:hAnsi="Century Gothic"/>
        </w:rPr>
        <w:t xml:space="preserve"> : </w:t>
      </w:r>
      <w:r w:rsidR="009E408E" w:rsidRPr="00B26116">
        <w:rPr>
          <w:rFonts w:ascii="Century Gothic" w:hAnsi="Century Gothic"/>
          <w:b/>
          <w:bCs/>
        </w:rPr>
        <w:t xml:space="preserve">les mines de Saint-Etienne et la </w:t>
      </w:r>
      <w:r w:rsidR="009E408E" w:rsidRPr="009E408E">
        <w:rPr>
          <w:rFonts w:ascii="Century Gothic" w:eastAsia="Times New Roman" w:hAnsi="Century Gothic" w:cs="Arial"/>
          <w:b/>
          <w:bCs/>
          <w:lang w:eastAsia="fr-FR"/>
        </w:rPr>
        <w:t xml:space="preserve">fusillade du Brûlé </w:t>
      </w:r>
      <w:r w:rsidR="009E408E" w:rsidRPr="00B26116">
        <w:rPr>
          <w:rFonts w:ascii="Century Gothic" w:eastAsia="Times New Roman" w:hAnsi="Century Gothic" w:cs="Arial"/>
          <w:b/>
          <w:bCs/>
          <w:lang w:eastAsia="fr-FR"/>
        </w:rPr>
        <w:t xml:space="preserve">qui a eu </w:t>
      </w:r>
      <w:r w:rsidR="009E408E" w:rsidRPr="009E408E">
        <w:rPr>
          <w:rFonts w:ascii="Century Gothic" w:eastAsia="Times New Roman" w:hAnsi="Century Gothic" w:cs="Arial"/>
          <w:b/>
          <w:bCs/>
          <w:lang w:eastAsia="fr-FR"/>
        </w:rPr>
        <w:t xml:space="preserve">lieu </w:t>
      </w:r>
      <w:r w:rsidR="009E408E" w:rsidRPr="00B26116">
        <w:rPr>
          <w:rFonts w:ascii="Century Gothic" w:eastAsia="Times New Roman" w:hAnsi="Century Gothic" w:cs="Arial"/>
          <w:b/>
          <w:bCs/>
          <w:lang w:eastAsia="fr-FR"/>
        </w:rPr>
        <w:t xml:space="preserve"> dans l’un de ses faubourgs, </w:t>
      </w:r>
      <w:r w:rsidR="009E408E" w:rsidRPr="009E408E">
        <w:rPr>
          <w:rFonts w:ascii="Century Gothic" w:eastAsia="Times New Roman" w:hAnsi="Century Gothic" w:cs="Arial"/>
          <w:b/>
          <w:bCs/>
          <w:lang w:eastAsia="fr-FR"/>
        </w:rPr>
        <w:t xml:space="preserve">à </w:t>
      </w:r>
      <w:hyperlink r:id="rId12" w:tooltip="La Ricamarie" w:history="1">
        <w:r w:rsidR="009E408E" w:rsidRPr="009E408E">
          <w:rPr>
            <w:rFonts w:ascii="Century Gothic" w:eastAsia="Times New Roman" w:hAnsi="Century Gothic" w:cs="Arial"/>
            <w:b/>
            <w:bCs/>
            <w:lang w:eastAsia="fr-FR"/>
          </w:rPr>
          <w:t>La Ricamarie</w:t>
        </w:r>
      </w:hyperlink>
      <w:r w:rsidR="009E408E" w:rsidRPr="00B26116">
        <w:rPr>
          <w:rFonts w:ascii="Century Gothic" w:eastAsia="Times New Roman" w:hAnsi="Century Gothic" w:cs="Arial"/>
          <w:b/>
          <w:bCs/>
          <w:lang w:eastAsia="fr-FR"/>
        </w:rPr>
        <w:t xml:space="preserve">, le 16 juin 1869. </w:t>
      </w:r>
      <w:r w:rsidR="009E408E" w:rsidRPr="00B26116">
        <w:rPr>
          <w:rFonts w:ascii="Century Gothic" w:eastAsia="Times New Roman" w:hAnsi="Century Gothic" w:cs="Arial"/>
          <w:lang w:eastAsia="fr-FR"/>
        </w:rPr>
        <w:t xml:space="preserve">Ainsi </w:t>
      </w:r>
      <w:r w:rsidR="009E408E" w:rsidRPr="00B26116">
        <w:rPr>
          <w:rFonts w:ascii="Century Gothic" w:hAnsi="Century Gothic"/>
        </w:rPr>
        <w:t>deux classes ont eu l’opportunité de visiter le puits Couriot, une mine fermée depuis 1973.Les élèves ont pu descendre dans des galeries désaffectées et découvrir la réalité du métier de mineur.</w:t>
      </w:r>
      <w:r w:rsidR="009E408E" w:rsidRPr="006F09EB">
        <w:rPr>
          <w:rFonts w:ascii="Century Gothic" w:hAnsi="Century Gothic"/>
          <w:b/>
          <w:bCs/>
        </w:rPr>
        <w:t>Il s’agissait de se rendre sur le terrain avant d’écrire une fiction comme le faisait E. Zola qui réalisait des carnets d’enquête avant de rédiger ses romans pour mieux ancrer ses récits dans le réel et faire preuve de précision et d’une rigueur presque scientifique dans ses œuvres.</w:t>
      </w:r>
      <w:r w:rsidR="009E408E" w:rsidRPr="00B26116">
        <w:rPr>
          <w:rFonts w:ascii="Century Gothic" w:hAnsi="Century Gothic"/>
        </w:rPr>
        <w:t xml:space="preserve"> Ainsi les élèves, à l’instar de cet écrivain, ont effectué cette visite afin de se documenter sur le travail de mineur, </w:t>
      </w:r>
      <w:r w:rsidR="00FF3CE6" w:rsidRPr="00B26116">
        <w:rPr>
          <w:rFonts w:ascii="Century Gothic" w:hAnsi="Century Gothic"/>
        </w:rPr>
        <w:t>l</w:t>
      </w:r>
      <w:r w:rsidR="009E408E" w:rsidRPr="00B26116">
        <w:rPr>
          <w:rFonts w:ascii="Century Gothic" w:hAnsi="Century Gothic"/>
        </w:rPr>
        <w:t xml:space="preserve">e vocabulaire spécialisé inhérent à ce métier ; ils ont fait des photographies, pris des notes pendant une visite guidée au cours de </w:t>
      </w:r>
      <w:r w:rsidR="009E408E" w:rsidRPr="006F09EB">
        <w:rPr>
          <w:rFonts w:ascii="Century Gothic" w:hAnsi="Century Gothic"/>
          <w:b/>
          <w:bCs/>
        </w:rPr>
        <w:t xml:space="preserve">laquelle ils ont pu s’identifier partiellement à un mineur en traversant les lieux incontournables de la mine : le lavabo, la salle des pendus ou encore la lampisterie sont désormais des termes qui n’ont plus de secret pour eux. </w:t>
      </w:r>
      <w:r w:rsidR="009E408E" w:rsidRPr="00B26116">
        <w:rPr>
          <w:rFonts w:ascii="Century Gothic" w:hAnsi="Century Gothic"/>
        </w:rPr>
        <w:t xml:space="preserve">Pour compléter cette découverte du monde ouvrier, </w:t>
      </w:r>
      <w:r w:rsidR="00B26116" w:rsidRPr="006F09EB">
        <w:rPr>
          <w:rFonts w:ascii="Century Gothic" w:hAnsi="Century Gothic"/>
          <w:b/>
          <w:bCs/>
        </w:rPr>
        <w:t>les deux classes ont été accueillies aux archives municipales de Saint-Etienne où ils ont pu découvrir des journaux et registres d’état civilcontemporains de Zola.</w:t>
      </w:r>
      <w:r w:rsidR="00B26116" w:rsidRPr="00B26116">
        <w:rPr>
          <w:rFonts w:ascii="Century Gothic" w:hAnsi="Century Gothic"/>
        </w:rPr>
        <w:t xml:space="preserve"> Ainsi cette expérience sur le terrain leur a permis de réactualiser le passé, le temps d’une journée, et de mettre des images sur les mots d’Emile Zola. A eux désormais de faire revivre cette époque à travers les récits qu’ils vont </w:t>
      </w:r>
      <w:r w:rsidR="00B26116" w:rsidRPr="00B26116">
        <w:rPr>
          <w:rFonts w:ascii="Century Gothic" w:hAnsi="Century Gothic"/>
        </w:rPr>
        <w:lastRenderedPageBreak/>
        <w:t xml:space="preserve">imaginer dans le prolongement de cette journée ! </w:t>
      </w:r>
    </w:p>
    <w:p w:rsidR="009E408E" w:rsidRPr="00B26116" w:rsidRDefault="00222EAB" w:rsidP="009E408E">
      <w:pPr>
        <w:spacing w:after="0"/>
        <w:jc w:val="both"/>
      </w:pPr>
      <w:r>
        <w:rPr>
          <w:noProof/>
        </w:rPr>
      </w:r>
      <w:r>
        <w:rPr>
          <w:noProof/>
        </w:rPr>
        <w:pict>
          <v:rect id="Rectangle 2" o:spid="_x0000_s1026" alt="Logo La Région Auvergne-Rhône-Alpes pour les partenai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kwbUhHAIAAAcEAAAOAAAAAAAAAAAAAAAAAC4CAABkcnMvZTJvRG9jLnhtbFBLAQItABQABgAI&#10;AAAAIQBMoOks2AAAAAMBAAAPAAAAAAAAAAAAAAAAAHYEAABkcnMvZG93bnJldi54bWxQSwUGAAAA&#10;AAQABADzAAAAewUAAAAA&#10;" filled="f" stroked="f">
            <o:lock v:ext="edit" aspectratio="t"/>
            <w10:wrap type="none"/>
            <w10:anchorlock/>
          </v:rect>
        </w:pict>
      </w: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sectPr w:rsidR="009E408E" w:rsidRPr="00B26116" w:rsidSect="00904004">
          <w:type w:val="continuous"/>
          <w:pgSz w:w="11906" w:h="16838"/>
          <w:pgMar w:top="720" w:right="720" w:bottom="720" w:left="720" w:header="708" w:footer="708" w:gutter="0"/>
          <w:cols w:num="2" w:space="708"/>
          <w:docGrid w:linePitch="360"/>
        </w:sectPr>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Pr="00B26116" w:rsidRDefault="009E408E" w:rsidP="009E408E">
      <w:pPr>
        <w:spacing w:after="0"/>
        <w:jc w:val="both"/>
      </w:pPr>
    </w:p>
    <w:p w:rsidR="009E408E" w:rsidRDefault="009E408E" w:rsidP="009E408E">
      <w:pPr>
        <w:spacing w:after="0"/>
        <w:jc w:val="both"/>
        <w:rPr>
          <w:sz w:val="24"/>
          <w:szCs w:val="24"/>
        </w:rPr>
      </w:pPr>
    </w:p>
    <w:p w:rsidR="009E408E" w:rsidRDefault="009E408E" w:rsidP="009E408E">
      <w:pPr>
        <w:spacing w:after="0"/>
        <w:jc w:val="both"/>
        <w:rPr>
          <w:sz w:val="24"/>
          <w:szCs w:val="24"/>
        </w:rPr>
      </w:pPr>
    </w:p>
    <w:p w:rsidR="009E408E" w:rsidRDefault="009E408E" w:rsidP="009E408E">
      <w:pPr>
        <w:spacing w:after="0"/>
        <w:jc w:val="both"/>
        <w:rPr>
          <w:sz w:val="24"/>
          <w:szCs w:val="24"/>
        </w:rPr>
      </w:pPr>
    </w:p>
    <w:p w:rsidR="009E408E" w:rsidRDefault="009E408E" w:rsidP="009E408E">
      <w:pPr>
        <w:spacing w:after="0"/>
        <w:jc w:val="both"/>
        <w:rPr>
          <w:sz w:val="24"/>
          <w:szCs w:val="24"/>
        </w:rPr>
      </w:pPr>
    </w:p>
    <w:p w:rsidR="009E408E" w:rsidRDefault="009E408E" w:rsidP="009E408E">
      <w:pPr>
        <w:spacing w:after="0"/>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Default="009E408E" w:rsidP="009E408E">
      <w:pPr>
        <w:jc w:val="both"/>
        <w:rPr>
          <w:sz w:val="24"/>
          <w:szCs w:val="24"/>
        </w:rPr>
      </w:pPr>
    </w:p>
    <w:p w:rsidR="009E408E" w:rsidRPr="001F2017" w:rsidRDefault="009E408E" w:rsidP="009E408E">
      <w:pPr>
        <w:jc w:val="both"/>
        <w:rPr>
          <w:sz w:val="24"/>
          <w:szCs w:val="24"/>
        </w:rPr>
      </w:pPr>
    </w:p>
    <w:p w:rsidR="009E408E" w:rsidRPr="001F2017" w:rsidRDefault="009E408E" w:rsidP="009E408E">
      <w:pPr>
        <w:tabs>
          <w:tab w:val="left" w:pos="2265"/>
        </w:tabs>
        <w:jc w:val="both"/>
        <w:rPr>
          <w:sz w:val="24"/>
          <w:szCs w:val="24"/>
        </w:rPr>
      </w:pPr>
      <w:r>
        <w:rPr>
          <w:sz w:val="36"/>
          <w:szCs w:val="36"/>
        </w:rPr>
        <w:tab/>
      </w:r>
    </w:p>
    <w:p w:rsidR="009E408E" w:rsidRDefault="009E408E"/>
    <w:sectPr w:rsidR="009E408E" w:rsidSect="00904004">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9E408E"/>
    <w:rsid w:val="000B75A8"/>
    <w:rsid w:val="00222EAB"/>
    <w:rsid w:val="003C0FB8"/>
    <w:rsid w:val="006F09EB"/>
    <w:rsid w:val="009E408E"/>
    <w:rsid w:val="00B26116"/>
    <w:rsid w:val="00D04838"/>
    <w:rsid w:val="00EA0D0C"/>
    <w:rsid w:val="00FF3CE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08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9E408E"/>
    <w:rPr>
      <w:color w:val="0000FF"/>
      <w:u w:val="single"/>
    </w:rPr>
  </w:style>
  <w:style w:type="paragraph" w:styleId="NormalWeb">
    <w:name w:val="Normal (Web)"/>
    <w:basedOn w:val="Normal"/>
    <w:uiPriority w:val="99"/>
    <w:semiHidden/>
    <w:unhideWhenUsed/>
    <w:rsid w:val="009E408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616596140">
      <w:bodyDiv w:val="1"/>
      <w:marLeft w:val="0"/>
      <w:marRight w:val="0"/>
      <w:marTop w:val="0"/>
      <w:marBottom w:val="0"/>
      <w:divBdr>
        <w:top w:val="none" w:sz="0" w:space="0" w:color="auto"/>
        <w:left w:val="none" w:sz="0" w:space="0" w:color="auto"/>
        <w:bottom w:val="none" w:sz="0" w:space="0" w:color="auto"/>
        <w:right w:val="none" w:sz="0" w:space="0" w:color="auto"/>
      </w:divBdr>
      <w:divsChild>
        <w:div w:id="1786118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oogle.fr/url?sa=i&amp;url=https://www.axelera.org/actualites/nouveau-logo-de-region-auvergne-rhone-alpes/&amp;psig=AOvVaw06r1cbVu3MMWM2xW59ifps&amp;ust=1586333360311000&amp;source=images&amp;cd=vfe&amp;ved=0CAIQjRxqFwoTCJCen7fu1egCFQAAAAAdAAAAABAD" TargetMode="External"/><Relationship Id="rId12" Type="http://schemas.openxmlformats.org/officeDocument/2006/relationships/hyperlink" Target="https://fr.wikipedia.org/wiki/La_Ricamari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microsoft.com/office/2007/relationships/hdphoto" Target="media/hdphoto1.wdp"/><Relationship Id="rId10" Type="http://schemas.microsoft.com/office/2007/relationships/hdphoto" Target="media/hdphoto2.wdp"/><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2198</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RRA</Company>
  <LinksUpToDate>false</LinksUpToDate>
  <CharactersWithSpaces>2592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ALPHONSE</dc:creator>
  <cp:lastModifiedBy>Utilisateur Windows</cp:lastModifiedBy>
  <cp:revision>2</cp:revision>
  <dcterms:created xsi:type="dcterms:W3CDTF">2020-04-14T09:02:00Z</dcterms:created>
  <dcterms:modified xsi:type="dcterms:W3CDTF">2020-04-14T09:02:00Z</dcterms:modified>
</cp:coreProperties>
</file>